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0656A19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WARRANT </w:t>
      </w:r>
      <w:r w:rsidR="009513B3">
        <w:rPr>
          <w:rFonts w:asciiTheme="minorHAnsi" w:hAnsiTheme="minorHAnsi" w:cs="Calibri"/>
          <w:b/>
          <w:bCs/>
          <w:sz w:val="28"/>
        </w:rPr>
        <w:t>OF</w:t>
      </w:r>
      <w:r w:rsidR="00194AB1">
        <w:rPr>
          <w:rFonts w:asciiTheme="minorHAnsi" w:hAnsiTheme="minorHAnsi" w:cs="Calibri"/>
          <w:b/>
          <w:bCs/>
          <w:sz w:val="28"/>
        </w:rPr>
        <w:t xml:space="preserve"> DETENTION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DF59F39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963502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8981658" w14:textId="7201C9D4" w:rsidR="00D860E8" w:rsidRPr="00490AD4" w:rsidRDefault="00DC7ECD" w:rsidP="0096350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200DA4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200DA4">
        <w:rPr>
          <w:rFonts w:cs="Arial"/>
          <w:b/>
          <w:bCs/>
        </w:rPr>
        <w:t>[</w:t>
      </w:r>
      <w:r w:rsidR="00704217" w:rsidRPr="00200DA4">
        <w:rPr>
          <w:rFonts w:cs="Arial"/>
          <w:b/>
          <w:bCs/>
          <w:i/>
        </w:rPr>
        <w:t xml:space="preserve">FULL </w:t>
      </w:r>
      <w:r w:rsidRPr="00200DA4">
        <w:rPr>
          <w:rFonts w:cs="Arial"/>
          <w:b/>
          <w:bCs/>
          <w:i/>
        </w:rPr>
        <w:t>NAME</w:t>
      </w:r>
      <w:r w:rsidRPr="00200DA4">
        <w:rPr>
          <w:rFonts w:cs="Arial"/>
          <w:b/>
          <w:bCs/>
        </w:rPr>
        <w:t>]</w:t>
      </w:r>
    </w:p>
    <w:p w14:paraId="63C529C8" w14:textId="0E03B48E" w:rsidR="0079103A" w:rsidRPr="00200DA4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00DA4">
        <w:rPr>
          <w:rFonts w:cs="Arial"/>
          <w:b/>
          <w:bCs/>
        </w:rPr>
        <w:t>Informant</w:t>
      </w:r>
      <w:r w:rsidR="00282085" w:rsidRPr="00200DA4">
        <w:rPr>
          <w:rFonts w:cs="Arial"/>
          <w:b/>
          <w:bCs/>
        </w:rPr>
        <w:t>/R</w:t>
      </w:r>
    </w:p>
    <w:p w14:paraId="114C7705" w14:textId="722C7B82" w:rsidR="006250A1" w:rsidRPr="00200DA4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200DA4">
        <w:rPr>
          <w:rFonts w:cs="Arial"/>
          <w:b/>
          <w:bCs/>
        </w:rPr>
        <w:t>v</w:t>
      </w:r>
    </w:p>
    <w:p w14:paraId="0DE99CB8" w14:textId="2D2C4196" w:rsidR="00A648B8" w:rsidRPr="00200DA4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00DA4">
        <w:rPr>
          <w:rFonts w:cs="Arial"/>
          <w:b/>
        </w:rPr>
        <w:t>[</w:t>
      </w:r>
      <w:r w:rsidR="00704217" w:rsidRPr="00200DA4">
        <w:rPr>
          <w:rFonts w:cs="Arial"/>
          <w:b/>
          <w:i/>
        </w:rPr>
        <w:t xml:space="preserve">FULL </w:t>
      </w:r>
      <w:r w:rsidRPr="00200DA4">
        <w:rPr>
          <w:rFonts w:cs="Arial"/>
          <w:b/>
          <w:i/>
          <w:iCs/>
        </w:rPr>
        <w:t>NAME</w:t>
      </w:r>
      <w:r w:rsidRPr="00200DA4">
        <w:rPr>
          <w:rFonts w:cs="Arial"/>
          <w:b/>
        </w:rPr>
        <w:t>]</w:t>
      </w:r>
    </w:p>
    <w:p w14:paraId="144E654F" w14:textId="4CD83FB9" w:rsidR="0041571A" w:rsidRPr="00200DA4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00DA4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067B2D0" w:rsidR="00587910" w:rsidRPr="00282085" w:rsidRDefault="007D62CE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436125"/>
            <w:bookmarkStart w:id="2" w:name="_Hlk38384204"/>
            <w:bookmarkStart w:id="3" w:name="_Hlk38357244"/>
            <w:r>
              <w:rPr>
                <w:rFonts w:cs="Arial"/>
                <w:szCs w:val="22"/>
                <w:lang w:val="en-US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1"/>
      <w:bookmarkEnd w:id="2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10DE39C" w:rsidR="00953770" w:rsidRPr="00953770" w:rsidRDefault="001C1CAA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3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33F68A78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C1CA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C1CA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C1CA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7A0F84A" w:rsidR="004066CB" w:rsidRPr="00302A48" w:rsidRDefault="001C1CAA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77777777" w:rsidR="00771329" w:rsidRDefault="00194AB1" w:rsidP="00963502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  <w:t>the Sheriff</w:t>
            </w:r>
          </w:p>
          <w:p w14:paraId="53A7E9AE" w14:textId="77777777" w:rsidR="00771329" w:rsidRDefault="00771329" w:rsidP="00963502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 xml:space="preserve">the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>for the State</w:t>
            </w:r>
          </w:p>
          <w:p w14:paraId="426CEA5F" w14:textId="0B40BAB8" w:rsidR="00194AB1" w:rsidRPr="00F14DBC" w:rsidRDefault="00F14DBC" w:rsidP="00963502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771329" w:rsidRPr="00F14DBC">
              <w:rPr>
                <w:rFonts w:cs="Arial"/>
                <w:b/>
              </w:rPr>
              <w:t>t</w:t>
            </w:r>
            <w:r w:rsidR="00194AB1" w:rsidRPr="00F14DBC">
              <w:rPr>
                <w:rFonts w:cs="Arial"/>
                <w:b/>
              </w:rPr>
              <w:t>he Minister for Health and Wellbeing</w:t>
            </w:r>
          </w:p>
          <w:p w14:paraId="1F6D2918" w14:textId="78F9B61B" w:rsidR="00002E7C" w:rsidRPr="00F14DBC" w:rsidRDefault="00F14DBC" w:rsidP="00963502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002E7C" w:rsidRPr="00F14DBC">
              <w:rPr>
                <w:rFonts w:cs="Arial"/>
                <w:b/>
              </w:rPr>
              <w:t>the Chi</w:t>
            </w:r>
            <w:r w:rsidR="00D52CF8" w:rsidRPr="00F14DBC">
              <w:rPr>
                <w:rFonts w:cs="Arial"/>
                <w:b/>
              </w:rPr>
              <w:t xml:space="preserve">ef Executive of the Department </w:t>
            </w:r>
            <w:r w:rsidR="00002E7C" w:rsidRPr="00F14DBC">
              <w:rPr>
                <w:rFonts w:cs="Arial"/>
                <w:b/>
              </w:rPr>
              <w:t>for Correctional Services</w:t>
            </w:r>
          </w:p>
          <w:p w14:paraId="20751B1E" w14:textId="77777777" w:rsidR="00194AB1" w:rsidRPr="00194AB1" w:rsidRDefault="00194AB1" w:rsidP="00963502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262D9DF8" w:rsidR="00194AB1" w:rsidRPr="00323C8B" w:rsidRDefault="001039E3" w:rsidP="00963502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323C8B">
              <w:rPr>
                <w:rFonts w:cs="Arial"/>
              </w:rPr>
              <w:t>By o</w:t>
            </w:r>
            <w:r w:rsidR="00194AB1" w:rsidRPr="00323C8B">
              <w:rPr>
                <w:rFonts w:cs="Arial"/>
              </w:rPr>
              <w:t>rder dated [</w:t>
            </w:r>
            <w:r w:rsidR="00194AB1" w:rsidRPr="00323C8B">
              <w:rPr>
                <w:rFonts w:cs="Arial"/>
                <w:i/>
              </w:rPr>
              <w:t>date</w:t>
            </w:r>
            <w:r w:rsidR="00194AB1" w:rsidRPr="00323C8B">
              <w:rPr>
                <w:rFonts w:cs="Arial"/>
              </w:rPr>
              <w:t xml:space="preserve">] the Court </w:t>
            </w:r>
            <w:r w:rsidR="00C760A4" w:rsidRPr="00323C8B">
              <w:rPr>
                <w:rFonts w:cs="Arial"/>
              </w:rPr>
              <w:t>determined</w:t>
            </w:r>
            <w:r w:rsidR="00194AB1" w:rsidRPr="00323C8B">
              <w:rPr>
                <w:rFonts w:cs="Arial"/>
              </w:rPr>
              <w:t xml:space="preserve"> that </w:t>
            </w:r>
            <w:r w:rsidR="00A8194C" w:rsidRPr="00323C8B">
              <w:rPr>
                <w:rFonts w:cs="Arial"/>
              </w:rPr>
              <w:t>[</w:t>
            </w:r>
            <w:r w:rsidR="00194AB1" w:rsidRPr="00323C8B">
              <w:rPr>
                <w:rFonts w:cs="Arial"/>
                <w:i/>
              </w:rPr>
              <w:t>the</w:t>
            </w:r>
            <w:r w:rsidR="00A8194C" w:rsidRPr="00323C8B">
              <w:rPr>
                <w:rFonts w:cs="Arial"/>
              </w:rPr>
              <w:t>]</w:t>
            </w:r>
            <w:r w:rsidR="00194AB1" w:rsidRPr="00323C8B">
              <w:rPr>
                <w:rFonts w:cs="Arial"/>
                <w:iCs/>
              </w:rPr>
              <w:t xml:space="preserve"> </w:t>
            </w:r>
            <w:r w:rsidR="00194AB1" w:rsidRPr="00323C8B">
              <w:rPr>
                <w:rFonts w:cs="Arial"/>
              </w:rPr>
              <w:t>[</w:t>
            </w:r>
            <w:r w:rsidR="00D52CF8" w:rsidRPr="00323C8B">
              <w:rPr>
                <w:rFonts w:cs="Arial"/>
                <w:i/>
              </w:rPr>
              <w:t>Defendant</w:t>
            </w:r>
            <w:r w:rsidR="00194AB1" w:rsidRPr="00323C8B">
              <w:rPr>
                <w:rFonts w:cs="Arial"/>
              </w:rPr>
              <w:t xml:space="preserve">] </w:t>
            </w:r>
            <w:r w:rsidR="00A8194C" w:rsidRPr="00323C8B">
              <w:rPr>
                <w:rFonts w:cs="Arial"/>
              </w:rPr>
              <w:t>[</w:t>
            </w:r>
            <w:r w:rsidR="00A8194C" w:rsidRPr="00323C8B">
              <w:rPr>
                <w:rFonts w:cs="Arial"/>
                <w:i/>
              </w:rPr>
              <w:t>number</w:t>
            </w:r>
            <w:r w:rsidR="00A8194C" w:rsidRPr="00323C8B">
              <w:rPr>
                <w:rFonts w:cs="Arial"/>
              </w:rPr>
              <w:t xml:space="preserve">] </w:t>
            </w:r>
            <w:r w:rsidR="00194AB1" w:rsidRPr="00323C8B">
              <w:rPr>
                <w:rFonts w:eastAsia="Arial" w:cs="Arial"/>
              </w:rPr>
              <w:t>[</w:t>
            </w:r>
            <w:r w:rsidR="00194AB1" w:rsidRPr="00323C8B">
              <w:rPr>
                <w:rFonts w:eastAsia="Arial" w:cs="Arial"/>
                <w:i/>
              </w:rPr>
              <w:t>name</w:t>
            </w:r>
            <w:r w:rsidR="00194AB1" w:rsidRPr="00323C8B">
              <w:rPr>
                <w:rFonts w:eastAsia="Arial" w:cs="Arial"/>
              </w:rPr>
              <w:t xml:space="preserve">] </w:t>
            </w:r>
            <w:r w:rsidR="007A1043" w:rsidRPr="00323C8B">
              <w:rPr>
                <w:rFonts w:eastAsia="Arial" w:cs="Arial"/>
              </w:rPr>
              <w:t xml:space="preserve">be acquitted because of mental illness at the time of the offence </w:t>
            </w:r>
            <w:r w:rsidR="00194AB1" w:rsidRPr="00323C8B">
              <w:rPr>
                <w:rFonts w:eastAsia="Arial" w:cs="Arial"/>
              </w:rPr>
              <w:t xml:space="preserve">in respect </w:t>
            </w:r>
            <w:r w:rsidR="00194AB1" w:rsidRPr="00323C8B">
              <w:rPr>
                <w:rFonts w:cs="Arial"/>
              </w:rPr>
              <w:t>of count[</w:t>
            </w:r>
            <w:r w:rsidR="00194AB1" w:rsidRPr="00323C8B">
              <w:rPr>
                <w:rFonts w:cs="Arial"/>
                <w:i/>
              </w:rPr>
              <w:t>s</w:t>
            </w:r>
            <w:r w:rsidR="00194AB1" w:rsidRPr="00323C8B">
              <w:rPr>
                <w:rFonts w:cs="Arial"/>
              </w:rPr>
              <w:t>] [</w:t>
            </w:r>
            <w:r w:rsidR="00194AB1" w:rsidRPr="00323C8B">
              <w:rPr>
                <w:rFonts w:cs="Arial"/>
                <w:i/>
              </w:rPr>
              <w:t>number(s)</w:t>
            </w:r>
            <w:r w:rsidR="00194AB1" w:rsidRPr="00323C8B">
              <w:rPr>
                <w:rFonts w:cs="Arial"/>
              </w:rPr>
              <w:t>] on the Information dated [</w:t>
            </w:r>
            <w:r w:rsidR="00194AB1" w:rsidRPr="00323C8B">
              <w:rPr>
                <w:rFonts w:cs="Arial"/>
                <w:i/>
              </w:rPr>
              <w:t>date</w:t>
            </w:r>
            <w:r w:rsidR="00194AB1" w:rsidRPr="00323C8B">
              <w:rPr>
                <w:rFonts w:cs="Arial"/>
              </w:rPr>
              <w:t xml:space="preserve">] pursuant to </w:t>
            </w:r>
            <w:r w:rsidR="007A1043" w:rsidRPr="00323C8B">
              <w:rPr>
                <w:rFonts w:cs="Arial"/>
              </w:rPr>
              <w:t xml:space="preserve">Division 7 of the </w:t>
            </w:r>
            <w:r w:rsidR="007A1043" w:rsidRPr="00323C8B">
              <w:rPr>
                <w:rFonts w:cs="Arial"/>
                <w:i/>
              </w:rPr>
              <w:t>Crimes Act 1914</w:t>
            </w:r>
            <w:r w:rsidR="00323C8B">
              <w:rPr>
                <w:rFonts w:cs="Arial"/>
                <w:i/>
              </w:rPr>
              <w:t xml:space="preserve"> </w:t>
            </w:r>
            <w:r w:rsidR="00323C8B" w:rsidRPr="00323C8B">
              <w:rPr>
                <w:rFonts w:cs="Arial"/>
                <w:iCs/>
              </w:rPr>
              <w:t>(Cth)</w:t>
            </w:r>
            <w:r w:rsidR="00194AB1" w:rsidRPr="00323C8B">
              <w:rPr>
                <w:rFonts w:cs="Arial"/>
              </w:rPr>
              <w:t xml:space="preserve">. </w:t>
            </w:r>
          </w:p>
          <w:p w14:paraId="57059747" w14:textId="49B1D8AE" w:rsidR="00194AB1" w:rsidRPr="00194AB1" w:rsidRDefault="00194AB1" w:rsidP="00323C8B">
            <w:pPr>
              <w:numPr>
                <w:ilvl w:val="0"/>
                <w:numId w:val="23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</w:t>
            </w:r>
            <w:r w:rsidR="00D52CF8" w:rsidRPr="006015E9">
              <w:rPr>
                <w:rFonts w:cs="Arial"/>
                <w:iCs/>
              </w:rPr>
              <w:t>Defendant</w:t>
            </w:r>
            <w:r w:rsidRPr="00194AB1">
              <w:rPr>
                <w:rFonts w:cs="Arial"/>
              </w:rPr>
              <w:t xml:space="preserve"> </w:t>
            </w:r>
            <w:r w:rsidR="007A1043">
              <w:rPr>
                <w:rFonts w:cs="Arial"/>
              </w:rPr>
              <w:t>is to be detained</w:t>
            </w:r>
            <w:r w:rsidRPr="00194AB1">
              <w:rPr>
                <w:rFonts w:cs="Arial"/>
              </w:rPr>
              <w:t xml:space="preserve"> </w:t>
            </w:r>
          </w:p>
          <w:p w14:paraId="0B95D67A" w14:textId="3150AD8B" w:rsidR="00194AB1" w:rsidRDefault="00002E7C" w:rsidP="00963502">
            <w:pPr>
              <w:numPr>
                <w:ilvl w:val="0"/>
                <w:numId w:val="26"/>
              </w:numPr>
              <w:spacing w:line="276" w:lineRule="auto"/>
              <w:ind w:left="1020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t>in a hospital [</w:t>
            </w:r>
            <w:r w:rsidRPr="00002E7C">
              <w:rPr>
                <w:rFonts w:cs="Arial"/>
                <w:i/>
              </w:rPr>
              <w:t>name of hospital</w:t>
            </w:r>
            <w:r>
              <w:rPr>
                <w:rFonts w:cs="Arial"/>
              </w:rPr>
              <w:t>]</w:t>
            </w:r>
          </w:p>
          <w:p w14:paraId="50380B8D" w14:textId="77777777" w:rsidR="00F14DBC" w:rsidRPr="00194AB1" w:rsidRDefault="00F14DBC" w:rsidP="00323C8B">
            <w:pPr>
              <w:numPr>
                <w:ilvl w:val="0"/>
                <w:numId w:val="26"/>
              </w:numPr>
              <w:spacing w:after="120" w:line="276" w:lineRule="auto"/>
              <w:ind w:left="1020" w:right="170" w:hanging="425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in safe custody in a prison</w:t>
            </w:r>
          </w:p>
          <w:p w14:paraId="0E51B71A" w14:textId="6AC47DB4" w:rsidR="00194AB1" w:rsidRPr="00194AB1" w:rsidRDefault="00194AB1" w:rsidP="00963502">
            <w:pPr>
              <w:spacing w:line="276" w:lineRule="auto"/>
              <w:ind w:left="454" w:right="170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for a term of </w:t>
            </w:r>
            <w:r w:rsidRPr="00194AB1">
              <w:rPr>
                <w:rFonts w:cs="Arial"/>
                <w:szCs w:val="24"/>
              </w:rPr>
              <w:t>[</w:t>
            </w:r>
            <w:r w:rsidRPr="00194AB1">
              <w:rPr>
                <w:rFonts w:cs="Arial"/>
                <w:i/>
                <w:szCs w:val="24"/>
              </w:rPr>
              <w:t>no of years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months</w:t>
            </w:r>
            <w:r w:rsidRPr="00194AB1">
              <w:rPr>
                <w:rFonts w:cs="Arial"/>
                <w:szCs w:val="24"/>
              </w:rPr>
              <w:t>] [</w:t>
            </w:r>
            <w:r w:rsidRPr="00194AB1">
              <w:rPr>
                <w:rFonts w:cs="Arial"/>
                <w:i/>
                <w:szCs w:val="24"/>
              </w:rPr>
              <w:t>no of days</w:t>
            </w:r>
            <w:r w:rsidRPr="00194AB1">
              <w:rPr>
                <w:rFonts w:cs="Arial"/>
                <w:szCs w:val="24"/>
              </w:rPr>
              <w:t xml:space="preserve">]. </w:t>
            </w:r>
            <w:r w:rsidRPr="006A3AD4">
              <w:rPr>
                <w:rFonts w:cs="Arial"/>
                <w:b/>
                <w:iCs/>
                <w:sz w:val="12"/>
                <w:szCs w:val="12"/>
              </w:rPr>
              <w:t>provision for multiple</w:t>
            </w:r>
          </w:p>
          <w:p w14:paraId="3FD4001B" w14:textId="77777777" w:rsidR="00194AB1" w:rsidRPr="00194AB1" w:rsidRDefault="00194AB1" w:rsidP="00963502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t>Warrant</w:t>
            </w:r>
          </w:p>
          <w:p w14:paraId="68FFFC85" w14:textId="6ECB3723" w:rsidR="00D97768" w:rsidRPr="007D62CE" w:rsidRDefault="00194AB1" w:rsidP="00963502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The Sheriff and the Commissioner of Police and members of the police f</w:t>
            </w:r>
            <w:r w:rsidR="007D62CE" w:rsidRPr="007D62CE">
              <w:rPr>
                <w:rFonts w:cs="Arial"/>
              </w:rPr>
              <w:t xml:space="preserve">orce, are directed to take the </w:t>
            </w:r>
            <w:r w:rsidR="00D52CF8" w:rsidRPr="007D62CE">
              <w:rPr>
                <w:rFonts w:cs="Arial"/>
              </w:rPr>
              <w:t>Defendant</w:t>
            </w:r>
            <w:r w:rsidR="00D97768" w:rsidRPr="007D62CE">
              <w:rPr>
                <w:rFonts w:cs="Arial"/>
              </w:rPr>
              <w:t xml:space="preserve"> to</w:t>
            </w:r>
          </w:p>
          <w:p w14:paraId="14C636F4" w14:textId="40B21D62" w:rsidR="00194AB1" w:rsidRPr="007D62CE" w:rsidRDefault="00F14DBC" w:rsidP="00963502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the</w:t>
            </w:r>
            <w:r w:rsidR="00194AB1" w:rsidRPr="007D62CE">
              <w:rPr>
                <w:rFonts w:cs="Arial"/>
              </w:rPr>
              <w:t xml:space="preserve"> </w:t>
            </w:r>
            <w:r w:rsidRPr="007D62CE">
              <w:rPr>
                <w:rFonts w:cs="Arial"/>
              </w:rPr>
              <w:t xml:space="preserve">hospital named </w:t>
            </w:r>
            <w:r w:rsidR="00002E7C" w:rsidRPr="007D62CE">
              <w:rPr>
                <w:rFonts w:cs="Arial"/>
              </w:rPr>
              <w:t>above.</w:t>
            </w:r>
          </w:p>
          <w:p w14:paraId="7AC1732F" w14:textId="77777777" w:rsidR="00F14DBC" w:rsidRPr="007D62CE" w:rsidRDefault="00F14DBC" w:rsidP="00963502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a prison as defined above.</w:t>
            </w:r>
          </w:p>
          <w:p w14:paraId="4CA1E1C0" w14:textId="42AA9E0A" w:rsidR="007A44F4" w:rsidRPr="007D62CE" w:rsidRDefault="00194AB1" w:rsidP="00963502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 xml:space="preserve">The Minister for Health and Wellbeing </w:t>
            </w:r>
            <w:r w:rsidR="007D62CE" w:rsidRPr="007D62CE">
              <w:rPr>
                <w:rFonts w:cs="Arial"/>
              </w:rPr>
              <w:t xml:space="preserve">or the </w:t>
            </w:r>
            <w:r w:rsidR="00F14DBC" w:rsidRPr="007D62CE">
              <w:rPr>
                <w:rFonts w:cs="Arial"/>
              </w:rPr>
              <w:t>Chief Executive of the Department for Correctional Services</w:t>
            </w:r>
            <w:r w:rsidR="007D62CE" w:rsidRPr="007D62CE">
              <w:rPr>
                <w:rFonts w:cs="Arial"/>
              </w:rPr>
              <w:t xml:space="preserve"> (as applicable) </w:t>
            </w:r>
            <w:r w:rsidRPr="007D62CE">
              <w:rPr>
                <w:rFonts w:cs="Arial"/>
              </w:rPr>
              <w:t xml:space="preserve">is directed to receive and </w:t>
            </w:r>
            <w:r w:rsidR="006A3AD4" w:rsidRPr="007D62CE">
              <w:rPr>
                <w:rFonts w:cs="Arial"/>
              </w:rPr>
              <w:t>detain the</w:t>
            </w:r>
            <w:r w:rsidRPr="007D62CE">
              <w:rPr>
                <w:rFonts w:cs="Arial"/>
              </w:rPr>
              <w:t xml:space="preserve"> </w:t>
            </w:r>
            <w:r w:rsidR="00D52CF8" w:rsidRPr="007D62CE">
              <w:rPr>
                <w:rFonts w:cs="Arial"/>
              </w:rPr>
              <w:t>Defendant</w:t>
            </w:r>
            <w:r w:rsidRPr="007D62CE">
              <w:rPr>
                <w:rFonts w:cs="Arial"/>
              </w:rPr>
              <w:t xml:space="preserve"> for the pe</w:t>
            </w:r>
            <w:r w:rsidR="00A8194C" w:rsidRPr="007D62CE">
              <w:rPr>
                <w:rFonts w:cs="Arial"/>
              </w:rPr>
              <w:t>riod of time specified in this w</w:t>
            </w:r>
            <w:r w:rsidRPr="007D62CE">
              <w:rPr>
                <w:rFonts w:cs="Arial"/>
              </w:rPr>
              <w:t>arrant</w:t>
            </w:r>
            <w:r w:rsidR="007A44F4" w:rsidRPr="007D62CE">
              <w:rPr>
                <w:rFonts w:cs="Arial"/>
              </w:rPr>
              <w:t xml:space="preserve"> at</w:t>
            </w:r>
          </w:p>
          <w:p w14:paraId="72AB45EE" w14:textId="7AB123FE" w:rsidR="001A53C4" w:rsidRPr="007D62CE" w:rsidRDefault="00F14DBC" w:rsidP="00963502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the hospital named above or such other place of detention as is ordered by the Attorney-General for the Commonwealth</w:t>
            </w:r>
            <w:r w:rsidR="00194AB1" w:rsidRPr="007D62CE">
              <w:rPr>
                <w:rFonts w:cs="Arial"/>
              </w:rPr>
              <w:t>.</w:t>
            </w:r>
          </w:p>
          <w:p w14:paraId="76BC0BC0" w14:textId="06F6E692" w:rsidR="00F14DBC" w:rsidRPr="007D62CE" w:rsidRDefault="00F14DBC" w:rsidP="00963502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7D62CE">
              <w:rPr>
                <w:rFonts w:cs="Arial"/>
              </w:rPr>
              <w:t>a prison as defined above or such other place of detention as is ordered by the Attorney-General for the Commonwealth</w:t>
            </w:r>
          </w:p>
          <w:p w14:paraId="5AB85297" w14:textId="667388FF" w:rsidR="003C5814" w:rsidRPr="006A3AD4" w:rsidRDefault="003C5814" w:rsidP="00963502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7D62CE">
              <w:rPr>
                <w:rFonts w:asciiTheme="minorHAnsi" w:hAnsiTheme="minorHAnsi" w:cstheme="minorHAnsi"/>
              </w:rPr>
              <w:t xml:space="preserve">Accompanying this </w:t>
            </w:r>
            <w:r w:rsidR="00A8194C" w:rsidRPr="007D62CE">
              <w:rPr>
                <w:rFonts w:asciiTheme="minorHAnsi" w:hAnsiTheme="minorHAnsi" w:cstheme="minorHAnsi"/>
              </w:rPr>
              <w:t>w</w:t>
            </w:r>
            <w:r w:rsidRPr="007D62CE">
              <w:rPr>
                <w:rFonts w:asciiTheme="minorHAnsi" w:hAnsiTheme="minorHAnsi" w:cstheme="minorHAnsi"/>
              </w:rPr>
              <w:t xml:space="preserve">arrant insofar as it is provided to the </w:t>
            </w:r>
            <w:r w:rsidR="00B9666A" w:rsidRPr="007D62CE">
              <w:rPr>
                <w:rFonts w:cs="Arial"/>
              </w:rPr>
              <w:t xml:space="preserve">Chief Executive </w:t>
            </w:r>
            <w:r w:rsidR="00D52CF8" w:rsidRPr="007D62CE">
              <w:rPr>
                <w:rFonts w:cs="Arial"/>
              </w:rPr>
              <w:t>of the Department for Correctional Services</w:t>
            </w:r>
            <w:r w:rsidR="007D62CE" w:rsidRPr="007D62CE">
              <w:rPr>
                <w:rFonts w:cs="Arial"/>
              </w:rPr>
              <w:t xml:space="preserve"> and </w:t>
            </w:r>
            <w:r w:rsidRPr="007D62CE">
              <w:rPr>
                <w:rFonts w:cs="Arial"/>
              </w:rPr>
              <w:t>Minister for Health and Wellbeing</w:t>
            </w:r>
            <w:r w:rsidRPr="007D62CE">
              <w:rPr>
                <w:rFonts w:asciiTheme="minorHAnsi" w:hAnsiTheme="minorHAnsi" w:cstheme="minorHAnsi"/>
              </w:rPr>
              <w:t xml:space="preserve"> is a copy of the Informat</w:t>
            </w:r>
            <w:r w:rsidR="007D62CE" w:rsidRPr="007D62CE">
              <w:rPr>
                <w:rFonts w:asciiTheme="minorHAnsi" w:hAnsiTheme="minorHAnsi" w:cstheme="minorHAnsi"/>
              </w:rPr>
              <w:t xml:space="preserve">ion(s) in respect of which the </w:t>
            </w:r>
            <w:r w:rsidR="00D52CF8" w:rsidRPr="007D62CE">
              <w:rPr>
                <w:rFonts w:asciiTheme="minorHAnsi" w:hAnsiTheme="minorHAnsi" w:cstheme="minorHAnsi"/>
              </w:rPr>
              <w:t>Defendant</w:t>
            </w:r>
            <w:r w:rsidRPr="007D62CE">
              <w:rPr>
                <w:rFonts w:asciiTheme="minorHAnsi" w:hAnsiTheme="minorHAnsi" w:cstheme="minorHAnsi"/>
              </w:rPr>
              <w:t xml:space="preserve"> was </w:t>
            </w:r>
            <w:r w:rsidR="003F59CE">
              <w:rPr>
                <w:rFonts w:asciiTheme="minorHAnsi" w:hAnsiTheme="minorHAnsi" w:cstheme="minorHAnsi"/>
              </w:rPr>
              <w:t>acquitted</w:t>
            </w:r>
            <w:r w:rsidRPr="007D62CE">
              <w:rPr>
                <w:rFonts w:asciiTheme="minorHAnsi" w:hAnsiTheme="minorHAnsi" w:cstheme="minorHAnsi"/>
              </w:rPr>
              <w:t>.</w:t>
            </w:r>
          </w:p>
        </w:tc>
      </w:tr>
    </w:tbl>
    <w:p w14:paraId="0EF69A56" w14:textId="6F81B2A3" w:rsidR="00C41DF5" w:rsidRPr="00F559D4" w:rsidRDefault="00C41DF5" w:rsidP="00963502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4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2B422761" w:rsidR="00F559D4" w:rsidRPr="008E6745" w:rsidRDefault="008E6745" w:rsidP="00963502">
            <w:pPr>
              <w:spacing w:line="276" w:lineRule="auto"/>
              <w:ind w:right="176"/>
              <w:rPr>
                <w:rFonts w:cs="Arial"/>
                <w:b/>
                <w:iCs/>
              </w:rPr>
            </w:pPr>
            <w:r w:rsidRPr="008E6745">
              <w:rPr>
                <w:rFonts w:cs="Arial"/>
                <w:b/>
                <w:iCs/>
              </w:rPr>
              <w:t>Authentication</w:t>
            </w:r>
          </w:p>
          <w:p w14:paraId="665C1A20" w14:textId="77777777" w:rsidR="00F559D4" w:rsidRPr="00F559D4" w:rsidRDefault="00F559D4" w:rsidP="00963502">
            <w:pPr>
              <w:spacing w:before="60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28BE5E21" w:rsidR="00F559D4" w:rsidRPr="00F559D4" w:rsidRDefault="00F559D4" w:rsidP="00963502">
            <w:pPr>
              <w:spacing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Court Officer</w:t>
            </w:r>
          </w:p>
          <w:p w14:paraId="09049031" w14:textId="37E0A016" w:rsidR="00F559D4" w:rsidRPr="00F559D4" w:rsidRDefault="00F559D4" w:rsidP="00963502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F559D4" w:rsidRDefault="00F559D4" w:rsidP="00963502">
            <w:pPr>
              <w:spacing w:line="276" w:lineRule="auto"/>
              <w:ind w:right="176"/>
              <w:rPr>
                <w:rFonts w:cs="Arial"/>
                <w:iCs/>
                <w:sz w:val="24"/>
              </w:rPr>
            </w:pPr>
          </w:p>
          <w:p w14:paraId="7A1E8974" w14:textId="3F6A3C64" w:rsidR="00953770" w:rsidRPr="006A3AD4" w:rsidRDefault="00F559D4" w:rsidP="00963502">
            <w:pPr>
              <w:spacing w:after="120" w:line="276" w:lineRule="auto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</w:tbl>
    <w:p w14:paraId="1B76CCA7" w14:textId="22E03647" w:rsidR="0060759E" w:rsidRPr="002E02BC" w:rsidRDefault="0060759E" w:rsidP="00963502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</w:p>
    <w:bookmarkEnd w:id="4"/>
    <w:p w14:paraId="3F56AB54" w14:textId="77777777" w:rsidR="006F2091" w:rsidRPr="00490AD4" w:rsidRDefault="006F2091" w:rsidP="0096350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29728FE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CB4DE6">
      <w:rPr>
        <w:lang w:val="en-US"/>
      </w:rPr>
      <w:t>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89DF6B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31AD2">
      <w:rPr>
        <w:lang w:val="en-US"/>
      </w:rPr>
      <w:t>146</w:t>
    </w:r>
    <w:r w:rsidR="00C566EA">
      <w:rPr>
        <w:lang w:val="en-US"/>
      </w:rPr>
      <w:t>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2365"/>
    <w:multiLevelType w:val="hybridMultilevel"/>
    <w:tmpl w:val="32ECFE16"/>
    <w:lvl w:ilvl="0" w:tplc="E7DA4F6C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64654"/>
    <w:multiLevelType w:val="hybridMultilevel"/>
    <w:tmpl w:val="A2EA8674"/>
    <w:lvl w:ilvl="0" w:tplc="9B300098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4391D0B"/>
    <w:multiLevelType w:val="hybridMultilevel"/>
    <w:tmpl w:val="155A62F0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5D3526"/>
    <w:multiLevelType w:val="hybridMultilevel"/>
    <w:tmpl w:val="5AAE1CE6"/>
    <w:lvl w:ilvl="0" w:tplc="9B300098">
      <w:start w:val="1"/>
      <w:numFmt w:val="bullet"/>
      <w:lvlText w:val=""/>
      <w:lvlJc w:val="left"/>
      <w:pPr>
        <w:ind w:left="96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22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4"/>
  </w:num>
  <w:num w:numId="10">
    <w:abstractNumId w:val="14"/>
  </w:num>
  <w:num w:numId="11">
    <w:abstractNumId w:val="30"/>
  </w:num>
  <w:num w:numId="12">
    <w:abstractNumId w:val="20"/>
  </w:num>
  <w:num w:numId="13">
    <w:abstractNumId w:val="31"/>
  </w:num>
  <w:num w:numId="14">
    <w:abstractNumId w:val="28"/>
  </w:num>
  <w:num w:numId="15">
    <w:abstractNumId w:val="19"/>
  </w:num>
  <w:num w:numId="16">
    <w:abstractNumId w:val="9"/>
  </w:num>
  <w:num w:numId="17">
    <w:abstractNumId w:val="8"/>
  </w:num>
  <w:num w:numId="18">
    <w:abstractNumId w:val="27"/>
  </w:num>
  <w:num w:numId="19">
    <w:abstractNumId w:val="26"/>
  </w:num>
  <w:num w:numId="20">
    <w:abstractNumId w:val="6"/>
  </w:num>
  <w:num w:numId="21">
    <w:abstractNumId w:val="17"/>
  </w:num>
  <w:num w:numId="22">
    <w:abstractNumId w:val="4"/>
  </w:num>
  <w:num w:numId="23">
    <w:abstractNumId w:val="25"/>
  </w:num>
  <w:num w:numId="24">
    <w:abstractNumId w:val="18"/>
  </w:num>
  <w:num w:numId="25">
    <w:abstractNumId w:val="16"/>
  </w:num>
  <w:num w:numId="26">
    <w:abstractNumId w:val="21"/>
  </w:num>
  <w:num w:numId="27">
    <w:abstractNumId w:val="3"/>
  </w:num>
  <w:num w:numId="28">
    <w:abstractNumId w:val="5"/>
  </w:num>
  <w:num w:numId="29">
    <w:abstractNumId w:val="0"/>
  </w:num>
  <w:num w:numId="30">
    <w:abstractNumId w:val="23"/>
  </w:num>
  <w:num w:numId="31">
    <w:abstractNumId w:val="15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03A238-CAEB-416E-A947-1A37042FBFAF}"/>
    <w:docVar w:name="dgnword-eventsink" w:val="951165912"/>
  </w:docVars>
  <w:rsids>
    <w:rsidRoot w:val="00E81BE3"/>
    <w:rsid w:val="0000190D"/>
    <w:rsid w:val="00002E7C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8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0DA4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3C8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59CE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15E9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1D96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1043"/>
    <w:rsid w:val="007A217C"/>
    <w:rsid w:val="007A21C2"/>
    <w:rsid w:val="007A2D67"/>
    <w:rsid w:val="007A391E"/>
    <w:rsid w:val="007A3AAE"/>
    <w:rsid w:val="007A411A"/>
    <w:rsid w:val="007A44F4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2CE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745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02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09B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3A8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66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66EA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60A4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4DE6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2CF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97768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DBC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60BAFAC-4B90-4229-A9ED-3925D2C8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146A Warrant of Detention (Cth - Mental Illness)</dc:title>
  <dc:subject/>
  <dc:creator>Courts Administration Authority</dc:creator>
  <cp:keywords>criminal; Forms</cp:keywords>
  <dc:description/>
  <cp:lastModifiedBy/>
  <cp:revision>1</cp:revision>
  <dcterms:created xsi:type="dcterms:W3CDTF">2021-04-07T21:33:00Z</dcterms:created>
  <dcterms:modified xsi:type="dcterms:W3CDTF">2022-08-10T04:58:00Z</dcterms:modified>
</cp:coreProperties>
</file>